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ustomizations.xml" ContentType="application/vnd.ms-word.keyMapCustomization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default" w:ascii="Times New Roman" w:hAnsi="Times New Roman" w:cs="Times New Roman"/>
          <w:b/>
          <w:sz w:val="24"/>
        </w:rPr>
      </w:pPr>
      <w:r>
        <w:rPr>
          <w:rFonts w:hint="default" w:ascii="Times New Roman" w:hAnsi="Times New Roman" w:cs="Times New Roman"/>
          <w:b/>
          <w:sz w:val="24"/>
        </w:rPr>
        <w:t>职业卫生技术报告网上公示单</w:t>
      </w:r>
    </w:p>
    <w:tbl>
      <w:tblPr>
        <w:tblStyle w:val="13"/>
        <w:tblW w:w="5015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51" w:type="dxa"/>
          <w:left w:w="51" w:type="dxa"/>
          <w:bottom w:w="51" w:type="dxa"/>
          <w:right w:w="51" w:type="dxa"/>
        </w:tblCellMar>
      </w:tblPr>
      <w:tblGrid>
        <w:gridCol w:w="1178"/>
        <w:gridCol w:w="1748"/>
        <w:gridCol w:w="1518"/>
        <w:gridCol w:w="622"/>
        <w:gridCol w:w="1763"/>
        <w:gridCol w:w="335"/>
        <w:gridCol w:w="20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284" w:hRule="atLeast"/>
        </w:trPr>
        <w:tc>
          <w:tcPr>
            <w:tcW w:w="640" w:type="pc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用人单位</w:t>
            </w:r>
          </w:p>
        </w:tc>
        <w:tc>
          <w:tcPr>
            <w:tcW w:w="2113" w:type="pct"/>
            <w:gridSpan w:val="3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山东亿盛实业股份有限公司</w:t>
            </w:r>
          </w:p>
        </w:tc>
        <w:tc>
          <w:tcPr>
            <w:tcW w:w="958" w:type="pc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联系人</w:t>
            </w:r>
          </w:p>
        </w:tc>
        <w:tc>
          <w:tcPr>
            <w:tcW w:w="1288" w:type="pct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cs="Times New Roman"/>
                <w:color w:val="000000"/>
                <w:kern w:val="0"/>
                <w:szCs w:val="21"/>
                <w:lang w:val="en-US" w:eastAsia="zh-CN"/>
              </w:rPr>
              <w:t>李经理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284" w:hRule="atLeast"/>
        </w:trPr>
        <w:tc>
          <w:tcPr>
            <w:tcW w:w="640" w:type="pc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项目名称</w:t>
            </w:r>
          </w:p>
        </w:tc>
        <w:tc>
          <w:tcPr>
            <w:tcW w:w="2113" w:type="pct"/>
            <w:gridSpan w:val="3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改、扩建年产35000吨草铵膦及新建年产10000吨杀虫剂系列产品建设项目（一期工程）</w:t>
            </w:r>
          </w:p>
        </w:tc>
        <w:tc>
          <w:tcPr>
            <w:tcW w:w="958" w:type="pc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建设地址</w:t>
            </w:r>
          </w:p>
        </w:tc>
        <w:tc>
          <w:tcPr>
            <w:tcW w:w="1288" w:type="pct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highlight w:val="none"/>
                <w:lang w:val="en-US" w:eastAsia="zh-CN"/>
              </w:rPr>
              <w:t>胡集镇济宁新材料产业园区山东</w:t>
            </w:r>
            <w:r>
              <w:rPr>
                <w:rFonts w:hint="eastAsia"/>
                <w:color w:val="000000"/>
                <w:highlight w:val="none"/>
                <w:lang w:eastAsia="zh-CN"/>
              </w:rPr>
              <w:t>亿盛实业股份有限公司</w:t>
            </w:r>
            <w:r>
              <w:rPr>
                <w:rFonts w:hint="eastAsia"/>
                <w:color w:val="000000"/>
                <w:highlight w:val="none"/>
                <w:lang w:val="en-US" w:eastAsia="zh-CN"/>
              </w:rPr>
              <w:t>厂区内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284" w:hRule="atLeast"/>
        </w:trPr>
        <w:tc>
          <w:tcPr>
            <w:tcW w:w="640" w:type="pc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类别</w:t>
            </w:r>
          </w:p>
        </w:tc>
        <w:tc>
          <w:tcPr>
            <w:tcW w:w="4359" w:type="pct"/>
            <w:gridSpan w:val="6"/>
            <w:noWrap w:val="0"/>
            <w:vAlign w:val="center"/>
          </w:tcPr>
          <w:p>
            <w:pPr>
              <w:spacing w:line="240" w:lineRule="exact"/>
              <w:jc w:val="left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职业病危害预评价</w:t>
            </w:r>
            <w:r>
              <w:rPr>
                <w:rFonts w:hint="default" w:ascii="Times New Roman" w:hAnsi="Times New Roman" w:cs="Times New Roman"/>
                <w:szCs w:val="21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szCs w:val="21"/>
              </w:rPr>
              <w:t xml:space="preserve">          职业病防护设施设计专篇□</w:t>
            </w:r>
          </w:p>
          <w:p>
            <w:pPr>
              <w:spacing w:line="240" w:lineRule="exact"/>
              <w:jc w:val="left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职业病危害控制效果评价□    职业病危害现状评价□</w:t>
            </w:r>
          </w:p>
          <w:p>
            <w:pPr>
              <w:spacing w:line="240" w:lineRule="exact"/>
              <w:jc w:val="left"/>
              <w:rPr>
                <w:rFonts w:hint="default" w:ascii="Times New Roman" w:hAnsi="Times New Roman" w:cs="Times New Roman"/>
                <w:szCs w:val="21"/>
                <w:u w:val="single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检测评价□                  其它 □</w:t>
            </w:r>
            <w:r>
              <w:rPr>
                <w:rFonts w:hint="default" w:ascii="Times New Roman" w:hAnsi="Times New Roman" w:cs="Times New Roman"/>
                <w:szCs w:val="21"/>
                <w:u w:val="single"/>
              </w:rPr>
              <w:t xml:space="preserve">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284" w:hRule="atLeast"/>
        </w:trPr>
        <w:tc>
          <w:tcPr>
            <w:tcW w:w="640" w:type="pct"/>
            <w:noWrap w:val="0"/>
            <w:vAlign w:val="center"/>
          </w:tcPr>
          <w:p>
            <w:pPr>
              <w:spacing w:line="240" w:lineRule="exact"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项目简介</w:t>
            </w:r>
          </w:p>
        </w:tc>
        <w:tc>
          <w:tcPr>
            <w:tcW w:w="4359" w:type="pct"/>
            <w:gridSpan w:val="6"/>
            <w:noWrap w:val="0"/>
            <w:vAlign w:val="center"/>
          </w:tcPr>
          <w:p>
            <w:pPr>
              <w:ind w:left="0" w:leftChars="0" w:firstLine="0" w:firstLineChars="0"/>
              <w:jc w:val="left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4"/>
                <w:highlight w:val="none"/>
                <w:lang w:val="en-US" w:eastAsia="zh-CN" w:bidi="ar-SA"/>
              </w:rPr>
              <w:t>项目名称：改、扩建年产35000吨草铵膦及新建年产10000吨杀虫剂系列产品建设项目（一期工程）</w:t>
            </w:r>
          </w:p>
          <w:p>
            <w:pPr>
              <w:pStyle w:val="2"/>
              <w:ind w:left="0" w:leftChars="0" w:firstLine="0" w:firstLineChars="0"/>
              <w:jc w:val="left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4"/>
                <w:highlight w:val="none"/>
                <w:lang w:val="en-US" w:eastAsia="zh-CN" w:bidi="ar-SA"/>
              </w:rPr>
              <w:t>建设单位：山东亿盛实业股份有限公司</w:t>
            </w:r>
          </w:p>
          <w:p>
            <w:pPr>
              <w:pStyle w:val="2"/>
              <w:ind w:left="0" w:leftChars="0" w:firstLine="0" w:firstLineChars="0"/>
              <w:jc w:val="left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4"/>
                <w:highlight w:val="none"/>
                <w:lang w:val="en-US" w:eastAsia="zh-CN" w:bidi="ar-SA"/>
              </w:rPr>
              <w:t>项目性质：改、扩建项目</w:t>
            </w:r>
          </w:p>
          <w:p>
            <w:pPr>
              <w:pStyle w:val="2"/>
              <w:ind w:left="0" w:leftChars="0" w:firstLine="0" w:firstLineChars="0"/>
              <w:jc w:val="left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4"/>
                <w:highlight w:val="none"/>
                <w:lang w:val="en-US" w:eastAsia="zh-CN" w:bidi="ar-SA"/>
              </w:rPr>
              <w:t>建设地点：胡集镇济宁新材料产业园区山东亿盛实业股份有限公司厂区内</w:t>
            </w:r>
          </w:p>
          <w:p>
            <w:pPr>
              <w:pStyle w:val="2"/>
              <w:ind w:left="0" w:leftChars="0" w:firstLine="0" w:firstLineChars="0"/>
              <w:jc w:val="left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4"/>
                <w:highlight w:val="none"/>
                <w:lang w:val="en-US" w:eastAsia="zh-CN" w:bidi="ar-SA"/>
              </w:rPr>
              <w:t>产品及规模：年产35000吨草铵膦</w:t>
            </w:r>
          </w:p>
          <w:p>
            <w:pPr>
              <w:pStyle w:val="2"/>
              <w:ind w:left="0" w:leftChars="0" w:firstLine="0" w:firstLineChars="0"/>
              <w:jc w:val="left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4"/>
                <w:highlight w:val="none"/>
                <w:lang w:val="en-US" w:eastAsia="zh-CN" w:bidi="ar-SA"/>
              </w:rPr>
              <w:t>投资规模：总投资162253万元，其中一期投资120668万元</w:t>
            </w:r>
          </w:p>
          <w:p>
            <w:pPr>
              <w:ind w:left="0" w:leftChars="0" w:firstLine="0" w:firstLineChars="0"/>
              <w:jc w:val="left"/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4"/>
                <w:highlight w:val="none"/>
                <w:lang w:val="en-US" w:eastAsia="zh-CN" w:bidi="ar-SA"/>
              </w:rPr>
              <w:t>行业类别：农药制造（C263）</w:t>
            </w:r>
          </w:p>
          <w:p>
            <w:pPr>
              <w:ind w:left="0" w:leftChars="0" w:firstLine="0" w:firstLineChars="0"/>
              <w:jc w:val="left"/>
              <w:rPr>
                <w:rFonts w:hint="default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4"/>
                <w:highlight w:val="none"/>
                <w:lang w:val="en-US" w:eastAsia="zh-CN" w:bidi="ar-SA"/>
              </w:rPr>
              <w:t>占地面积：山东亿盛实业股份有限公司改、扩建年产35000吨草铵膦及新建年产10000吨杀虫剂系列产品建设项目（一期工程）共涉及三个厂区，分别为西厂区、北厂区和南厂区。西厂区总占地面积约为66800m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4"/>
                <w:highlight w:val="none"/>
                <w:vertAlign w:val="superscript"/>
                <w:lang w:val="en-US" w:eastAsia="zh-CN" w:bidi="ar-SA"/>
              </w:rPr>
              <w:t>2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4"/>
                <w:highlight w:val="none"/>
                <w:lang w:val="en-US" w:eastAsia="zh-CN" w:bidi="ar-SA"/>
              </w:rPr>
              <w:t>，北厂区总占地面积约为66667m</w:t>
            </w:r>
            <w:bookmarkStart w:id="0" w:name="_GoBack"/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4"/>
                <w:highlight w:val="none"/>
                <w:vertAlign w:val="superscript"/>
                <w:lang w:val="en-US" w:eastAsia="zh-CN" w:bidi="ar-SA"/>
              </w:rPr>
              <w:t>2</w:t>
            </w:r>
            <w:bookmarkEnd w:id="0"/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4"/>
                <w:highlight w:val="none"/>
                <w:lang w:val="en-US" w:eastAsia="zh-CN" w:bidi="ar-SA"/>
              </w:rPr>
              <w:t>，南厂区总占地面积约为68135m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4"/>
                <w:highlight w:val="none"/>
                <w:vertAlign w:val="superscript"/>
                <w:lang w:val="en-US" w:eastAsia="zh-CN" w:bidi="ar-SA"/>
              </w:rPr>
              <w:t>2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1"/>
                <w:szCs w:val="24"/>
                <w:highlight w:val="none"/>
                <w:lang w:val="en-US" w:eastAsia="zh-CN" w:bidi="ar-SA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284" w:hRule="atLeast"/>
        </w:trPr>
        <w:tc>
          <w:tcPr>
            <w:tcW w:w="640" w:type="pc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报告编号</w:t>
            </w:r>
          </w:p>
        </w:tc>
        <w:tc>
          <w:tcPr>
            <w:tcW w:w="1775" w:type="pct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JNHAYP202</w:t>
            </w:r>
            <w:r>
              <w:rPr>
                <w:rFonts w:hint="eastAsia" w:cs="Times New Roman"/>
                <w:szCs w:val="21"/>
                <w:lang w:val="en-US" w:eastAsia="zh-CN"/>
              </w:rPr>
              <w:t>3</w:t>
            </w:r>
            <w:r>
              <w:rPr>
                <w:rFonts w:hint="default" w:ascii="Times New Roman" w:hAnsi="Times New Roman" w:eastAsia="宋体" w:cs="Times New Roman"/>
                <w:szCs w:val="21"/>
              </w:rPr>
              <w:t>-0</w:t>
            </w:r>
            <w:r>
              <w:rPr>
                <w:rFonts w:hint="eastAsia" w:cs="Times New Roman"/>
                <w:szCs w:val="21"/>
                <w:lang w:val="en-US" w:eastAsia="zh-CN"/>
              </w:rPr>
              <w:t>23</w:t>
            </w:r>
          </w:p>
        </w:tc>
        <w:tc>
          <w:tcPr>
            <w:tcW w:w="1296" w:type="pct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报告时间</w:t>
            </w:r>
          </w:p>
        </w:tc>
        <w:tc>
          <w:tcPr>
            <w:tcW w:w="1288" w:type="pct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202</w:t>
            </w:r>
            <w:r>
              <w:rPr>
                <w:rFonts w:hint="eastAsia" w:cs="Times New Roman"/>
                <w:szCs w:val="21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/>
                <w:szCs w:val="21"/>
              </w:rPr>
              <w:t>.</w:t>
            </w:r>
            <w:r>
              <w:rPr>
                <w:rFonts w:hint="eastAsia" w:cs="Times New Roman"/>
                <w:szCs w:val="21"/>
                <w:lang w:val="en-US" w:eastAsia="zh-CN"/>
              </w:rPr>
              <w:t xml:space="preserve">12                                               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284" w:hRule="atLeast"/>
        </w:trPr>
        <w:tc>
          <w:tcPr>
            <w:tcW w:w="640" w:type="pct"/>
            <w:tcBorders>
              <w:tl2br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50" w:type="pc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zCs w:val="21"/>
              </w:rPr>
              <w:t>类别</w:t>
            </w:r>
          </w:p>
        </w:tc>
        <w:tc>
          <w:tcPr>
            <w:tcW w:w="825" w:type="pc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zCs w:val="21"/>
              </w:rPr>
              <w:t>姓名</w:t>
            </w:r>
          </w:p>
        </w:tc>
        <w:tc>
          <w:tcPr>
            <w:tcW w:w="1296" w:type="pct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zCs w:val="21"/>
              </w:rPr>
              <w:t>技术职务</w:t>
            </w:r>
          </w:p>
        </w:tc>
        <w:tc>
          <w:tcPr>
            <w:tcW w:w="1288" w:type="pct"/>
            <w:gridSpan w:val="2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zCs w:val="21"/>
              </w:rPr>
              <w:t>资质证书号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284" w:hRule="atLeast"/>
        </w:trPr>
        <w:tc>
          <w:tcPr>
            <w:tcW w:w="640" w:type="pct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项目组</w:t>
            </w:r>
          </w:p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人员名单</w:t>
            </w:r>
          </w:p>
        </w:tc>
        <w:tc>
          <w:tcPr>
            <w:tcW w:w="950" w:type="pct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zCs w:val="21"/>
              </w:rPr>
              <w:t>编写人</w:t>
            </w:r>
          </w:p>
        </w:tc>
        <w:tc>
          <w:tcPr>
            <w:tcW w:w="825" w:type="pc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  <w:t>王翠翠</w:t>
            </w:r>
          </w:p>
        </w:tc>
        <w:tc>
          <w:tcPr>
            <w:tcW w:w="1296" w:type="pct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eastAsia="zh-CN"/>
              </w:rPr>
              <w:t>工程师</w:t>
            </w:r>
          </w:p>
        </w:tc>
        <w:tc>
          <w:tcPr>
            <w:tcW w:w="1288" w:type="pct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eastAsia="zh-CN"/>
              </w:rPr>
              <w:t>鲁P2021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0467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284" w:hRule="atLeast"/>
        </w:trPr>
        <w:tc>
          <w:tcPr>
            <w:tcW w:w="64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5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</w:p>
        </w:tc>
        <w:tc>
          <w:tcPr>
            <w:tcW w:w="825" w:type="pc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eastAsia="zh-CN"/>
              </w:rPr>
              <w:t>孔庆南</w:t>
            </w:r>
          </w:p>
        </w:tc>
        <w:tc>
          <w:tcPr>
            <w:tcW w:w="1296" w:type="pct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eastAsia="zh-CN"/>
              </w:rPr>
              <w:t>工程师</w:t>
            </w:r>
          </w:p>
        </w:tc>
        <w:tc>
          <w:tcPr>
            <w:tcW w:w="1288" w:type="pct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eastAsia="zh-CN"/>
              </w:rPr>
              <w:t>鲁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J20210228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284" w:hRule="atLeast"/>
        </w:trPr>
        <w:tc>
          <w:tcPr>
            <w:tcW w:w="64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5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</w:p>
        </w:tc>
        <w:tc>
          <w:tcPr>
            <w:tcW w:w="825" w:type="pc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赵青</w:t>
            </w:r>
          </w:p>
        </w:tc>
        <w:tc>
          <w:tcPr>
            <w:tcW w:w="1296" w:type="pct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工程师</w:t>
            </w:r>
          </w:p>
        </w:tc>
        <w:tc>
          <w:tcPr>
            <w:tcW w:w="1288" w:type="pct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eastAsia="zh-CN"/>
              </w:rPr>
              <w:t>鲁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J20210222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284" w:hRule="atLeast"/>
        </w:trPr>
        <w:tc>
          <w:tcPr>
            <w:tcW w:w="64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5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</w:p>
        </w:tc>
        <w:tc>
          <w:tcPr>
            <w:tcW w:w="825" w:type="pc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冯书昊</w:t>
            </w:r>
          </w:p>
        </w:tc>
        <w:tc>
          <w:tcPr>
            <w:tcW w:w="1296" w:type="pct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助理工程师</w:t>
            </w:r>
          </w:p>
        </w:tc>
        <w:tc>
          <w:tcPr>
            <w:tcW w:w="1288" w:type="pct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鲁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J20210460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284" w:hRule="atLeast"/>
        </w:trPr>
        <w:tc>
          <w:tcPr>
            <w:tcW w:w="64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5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</w:p>
        </w:tc>
        <w:tc>
          <w:tcPr>
            <w:tcW w:w="825" w:type="pc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于宪成</w:t>
            </w:r>
          </w:p>
        </w:tc>
        <w:tc>
          <w:tcPr>
            <w:tcW w:w="1296" w:type="pct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助理工程师</w:t>
            </w:r>
          </w:p>
        </w:tc>
        <w:tc>
          <w:tcPr>
            <w:tcW w:w="1288" w:type="pct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eastAsia="zh-CN"/>
              </w:rPr>
              <w:t>鲁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J20210231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284" w:hRule="atLeast"/>
        </w:trPr>
        <w:tc>
          <w:tcPr>
            <w:tcW w:w="64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50" w:type="pc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zCs w:val="21"/>
              </w:rPr>
              <w:t>审核人</w:t>
            </w:r>
          </w:p>
        </w:tc>
        <w:tc>
          <w:tcPr>
            <w:tcW w:w="825" w:type="pc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eastAsia="zh-CN"/>
              </w:rPr>
              <w:t>刘庆和</w:t>
            </w:r>
          </w:p>
        </w:tc>
        <w:tc>
          <w:tcPr>
            <w:tcW w:w="1296" w:type="pct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eastAsia="zh-CN"/>
              </w:rPr>
              <w:t>工程师</w:t>
            </w:r>
          </w:p>
        </w:tc>
        <w:tc>
          <w:tcPr>
            <w:tcW w:w="1288" w:type="pct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eastAsia="zh-CN"/>
              </w:rPr>
              <w:t>鲁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P20210218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284" w:hRule="atLeast"/>
        </w:trPr>
        <w:tc>
          <w:tcPr>
            <w:tcW w:w="64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50" w:type="pc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zCs w:val="21"/>
              </w:rPr>
              <w:t>签发人</w:t>
            </w:r>
          </w:p>
        </w:tc>
        <w:tc>
          <w:tcPr>
            <w:tcW w:w="825" w:type="pc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eastAsia="zh-CN"/>
              </w:rPr>
              <w:t>孔庆虎</w:t>
            </w:r>
          </w:p>
        </w:tc>
        <w:tc>
          <w:tcPr>
            <w:tcW w:w="1296" w:type="pct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eastAsia="zh-CN"/>
              </w:rPr>
              <w:t>工程师</w:t>
            </w:r>
          </w:p>
        </w:tc>
        <w:tc>
          <w:tcPr>
            <w:tcW w:w="1288" w:type="pct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eastAsia="zh-CN"/>
              </w:rPr>
              <w:t>鲁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P20210215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397" w:hRule="atLeast"/>
        </w:trPr>
        <w:tc>
          <w:tcPr>
            <w:tcW w:w="640" w:type="pct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现场调查</w:t>
            </w:r>
          </w:p>
        </w:tc>
        <w:tc>
          <w:tcPr>
            <w:tcW w:w="950" w:type="pct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zCs w:val="21"/>
              </w:rPr>
              <w:t>调查人</w:t>
            </w:r>
          </w:p>
        </w:tc>
        <w:tc>
          <w:tcPr>
            <w:tcW w:w="825" w:type="pc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王翠翠</w:t>
            </w:r>
          </w:p>
        </w:tc>
        <w:tc>
          <w:tcPr>
            <w:tcW w:w="338" w:type="pct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zCs w:val="21"/>
              </w:rPr>
              <w:t>显著标志物前照片</w:t>
            </w:r>
          </w:p>
        </w:tc>
        <w:tc>
          <w:tcPr>
            <w:tcW w:w="2246" w:type="pct"/>
            <w:gridSpan w:val="3"/>
            <w:vMerge w:val="restart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Cs w:val="21"/>
                <w:lang w:eastAsia="zh-CN"/>
              </w:rPr>
            </w:pPr>
            <w:r>
              <w:drawing>
                <wp:inline distT="0" distB="0" distL="114300" distR="114300">
                  <wp:extent cx="2208530" cy="1653540"/>
                  <wp:effectExtent l="0" t="0" r="1270" b="762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8530" cy="1653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397" w:hRule="atLeast"/>
        </w:trPr>
        <w:tc>
          <w:tcPr>
            <w:tcW w:w="64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5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</w:p>
        </w:tc>
        <w:tc>
          <w:tcPr>
            <w:tcW w:w="825" w:type="pc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于宪成</w:t>
            </w:r>
          </w:p>
        </w:tc>
        <w:tc>
          <w:tcPr>
            <w:tcW w:w="338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</w:p>
        </w:tc>
        <w:tc>
          <w:tcPr>
            <w:tcW w:w="2246" w:type="pct"/>
            <w:gridSpan w:val="3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397" w:hRule="atLeast"/>
        </w:trPr>
        <w:tc>
          <w:tcPr>
            <w:tcW w:w="64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5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</w:p>
        </w:tc>
        <w:tc>
          <w:tcPr>
            <w:tcW w:w="825" w:type="pc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---</w:t>
            </w:r>
          </w:p>
        </w:tc>
        <w:tc>
          <w:tcPr>
            <w:tcW w:w="338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</w:p>
        </w:tc>
        <w:tc>
          <w:tcPr>
            <w:tcW w:w="2246" w:type="pct"/>
            <w:gridSpan w:val="3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397" w:hRule="atLeast"/>
        </w:trPr>
        <w:tc>
          <w:tcPr>
            <w:tcW w:w="64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50" w:type="pc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zCs w:val="21"/>
              </w:rPr>
              <w:t>用人单位陪同人</w:t>
            </w:r>
          </w:p>
        </w:tc>
        <w:tc>
          <w:tcPr>
            <w:tcW w:w="825" w:type="pc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李经理</w:t>
            </w:r>
          </w:p>
        </w:tc>
        <w:tc>
          <w:tcPr>
            <w:tcW w:w="338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</w:p>
        </w:tc>
        <w:tc>
          <w:tcPr>
            <w:tcW w:w="2246" w:type="pct"/>
            <w:gridSpan w:val="3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397" w:hRule="atLeast"/>
        </w:trPr>
        <w:tc>
          <w:tcPr>
            <w:tcW w:w="64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50" w:type="pc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zCs w:val="21"/>
              </w:rPr>
              <w:t>日期</w:t>
            </w:r>
          </w:p>
        </w:tc>
        <w:tc>
          <w:tcPr>
            <w:tcW w:w="825" w:type="pc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202</w:t>
            </w:r>
            <w:r>
              <w:rPr>
                <w:rFonts w:hint="eastAsia" w:cs="Times New Roman"/>
                <w:szCs w:val="21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/>
                <w:szCs w:val="21"/>
              </w:rPr>
              <w:t>.</w:t>
            </w:r>
            <w:r>
              <w:rPr>
                <w:rFonts w:hint="eastAsia" w:cs="Times New Roman"/>
                <w:szCs w:val="21"/>
                <w:lang w:val="en-US" w:eastAsia="zh-CN"/>
              </w:rPr>
              <w:t>11</w:t>
            </w:r>
            <w:r>
              <w:rPr>
                <w:rFonts w:hint="default" w:ascii="Times New Roman" w:hAnsi="Times New Roman" w:cs="Times New Roman"/>
                <w:szCs w:val="21"/>
                <w:lang w:val="en-US" w:eastAsia="zh-CN"/>
              </w:rPr>
              <w:t>.</w:t>
            </w:r>
            <w:r>
              <w:rPr>
                <w:rFonts w:hint="eastAsia" w:cs="Times New Roman"/>
                <w:szCs w:val="21"/>
                <w:lang w:val="en-US" w:eastAsia="zh-CN"/>
              </w:rPr>
              <w:t>28</w:t>
            </w:r>
          </w:p>
        </w:tc>
        <w:tc>
          <w:tcPr>
            <w:tcW w:w="338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</w:p>
        </w:tc>
        <w:tc>
          <w:tcPr>
            <w:tcW w:w="2246" w:type="pct"/>
            <w:gridSpan w:val="3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397" w:hRule="atLeast"/>
        </w:trPr>
        <w:tc>
          <w:tcPr>
            <w:tcW w:w="640" w:type="pct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现场检</w:t>
            </w:r>
          </w:p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测采样</w:t>
            </w:r>
          </w:p>
        </w:tc>
        <w:tc>
          <w:tcPr>
            <w:tcW w:w="950" w:type="pct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zCs w:val="21"/>
              </w:rPr>
              <w:t>检测采样人</w:t>
            </w:r>
          </w:p>
        </w:tc>
        <w:tc>
          <w:tcPr>
            <w:tcW w:w="825" w:type="pc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---</w:t>
            </w:r>
          </w:p>
        </w:tc>
        <w:tc>
          <w:tcPr>
            <w:tcW w:w="338" w:type="pct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zCs w:val="21"/>
              </w:rPr>
              <w:t>显著标志物前照片</w:t>
            </w:r>
          </w:p>
        </w:tc>
        <w:tc>
          <w:tcPr>
            <w:tcW w:w="958" w:type="pct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无</w:t>
            </w:r>
          </w:p>
        </w:tc>
        <w:tc>
          <w:tcPr>
            <w:tcW w:w="182" w:type="pct"/>
            <w:vMerge w:val="restar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zCs w:val="21"/>
              </w:rPr>
              <w:t>工作照片</w:t>
            </w:r>
          </w:p>
        </w:tc>
        <w:tc>
          <w:tcPr>
            <w:tcW w:w="1106" w:type="pct"/>
            <w:vMerge w:val="restar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397" w:hRule="atLeast"/>
        </w:trPr>
        <w:tc>
          <w:tcPr>
            <w:tcW w:w="64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5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</w:p>
        </w:tc>
        <w:tc>
          <w:tcPr>
            <w:tcW w:w="825" w:type="pc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---</w:t>
            </w:r>
          </w:p>
        </w:tc>
        <w:tc>
          <w:tcPr>
            <w:tcW w:w="338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58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82" w:type="pct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106" w:type="pct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397" w:hRule="atLeast"/>
        </w:trPr>
        <w:tc>
          <w:tcPr>
            <w:tcW w:w="64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5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</w:p>
        </w:tc>
        <w:tc>
          <w:tcPr>
            <w:tcW w:w="825" w:type="pc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---</w:t>
            </w:r>
          </w:p>
        </w:tc>
        <w:tc>
          <w:tcPr>
            <w:tcW w:w="338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58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82" w:type="pct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106" w:type="pct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397" w:hRule="atLeast"/>
        </w:trPr>
        <w:tc>
          <w:tcPr>
            <w:tcW w:w="64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50" w:type="pc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zCs w:val="21"/>
              </w:rPr>
              <w:t>用人单位陪同人</w:t>
            </w:r>
          </w:p>
        </w:tc>
        <w:tc>
          <w:tcPr>
            <w:tcW w:w="825" w:type="pc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---</w:t>
            </w:r>
          </w:p>
        </w:tc>
        <w:tc>
          <w:tcPr>
            <w:tcW w:w="338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58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82" w:type="pct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106" w:type="pct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397" w:hRule="atLeast"/>
        </w:trPr>
        <w:tc>
          <w:tcPr>
            <w:tcW w:w="640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50" w:type="pc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b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szCs w:val="21"/>
              </w:rPr>
              <w:t>日期</w:t>
            </w:r>
          </w:p>
        </w:tc>
        <w:tc>
          <w:tcPr>
            <w:tcW w:w="825" w:type="pc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---</w:t>
            </w:r>
          </w:p>
        </w:tc>
        <w:tc>
          <w:tcPr>
            <w:tcW w:w="338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958" w:type="pct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82" w:type="pct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106" w:type="pct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284" w:hRule="atLeast"/>
        </w:trPr>
        <w:tc>
          <w:tcPr>
            <w:tcW w:w="640" w:type="pct"/>
            <w:vMerge w:val="restart"/>
            <w:noWrap w:val="0"/>
            <w:vAlign w:val="center"/>
          </w:tcPr>
          <w:p>
            <w:pPr>
              <w:spacing w:line="240" w:lineRule="exac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职业病危害因素及检测结果</w:t>
            </w:r>
          </w:p>
        </w:tc>
        <w:tc>
          <w:tcPr>
            <w:tcW w:w="950" w:type="pc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left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  <w:lang w:eastAsia="zh-CN"/>
              </w:rPr>
              <w:t>拟建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项目生产过程中职业病危害因素</w:t>
            </w:r>
          </w:p>
        </w:tc>
        <w:tc>
          <w:tcPr>
            <w:tcW w:w="3409" w:type="pct"/>
            <w:gridSpan w:val="5"/>
            <w:noWrap w:val="0"/>
            <w:vAlign w:val="center"/>
          </w:tcPr>
          <w:p>
            <w:pPr>
              <w:bidi w:val="0"/>
              <w:rPr>
                <w:highlight w:val="none"/>
              </w:rPr>
            </w:pPr>
            <w:r>
              <w:rPr>
                <w:highlight w:val="none"/>
              </w:rPr>
              <w:t>该项目生产工艺过程中主要职业病危害因素有：</w:t>
            </w:r>
          </w:p>
          <w:p>
            <w:pPr>
              <w:bidi w:val="0"/>
              <w:rPr>
                <w:highlight w:val="none"/>
              </w:rPr>
            </w:pPr>
            <w:r>
              <w:rPr>
                <w:highlight w:val="none"/>
              </w:rPr>
              <w:t>（1）粉尘因素：</w:t>
            </w:r>
            <w:r>
              <w:rPr>
                <w:rFonts w:hint="eastAsia"/>
                <w:highlight w:val="none"/>
                <w:lang w:val="en-US" w:eastAsia="zh-CN"/>
              </w:rPr>
              <w:t>其他粉尘（草铵膦粉尘、氯化铵粉尘、灰渣粉尘、污泥粉尘）、活性炭粉尘</w:t>
            </w:r>
            <w:r>
              <w:rPr>
                <w:highlight w:val="none"/>
              </w:rPr>
              <w:t>；</w:t>
            </w:r>
          </w:p>
          <w:p>
            <w:pPr>
              <w:bidi w:val="0"/>
              <w:rPr>
                <w:highlight w:val="none"/>
              </w:rPr>
            </w:pPr>
            <w:r>
              <w:rPr>
                <w:highlight w:val="none"/>
              </w:rPr>
              <w:t>（2）化学毒物：</w:t>
            </w:r>
            <w:r>
              <w:rPr>
                <w:rFonts w:hint="eastAsia"/>
                <w:highlight w:val="none"/>
                <w:lang w:val="en-US" w:eastAsia="zh-CN"/>
              </w:rPr>
              <w:t>氰化钠、丙烯醛、乙酸、氰化氢、氨、氢氧化钠、氯化氢及盐酸、乙酸乙酯、甲醇、氮氧化物、一氧化碳、硫化氢、二氧化硫</w:t>
            </w:r>
            <w:r>
              <w:rPr>
                <w:highlight w:val="none"/>
              </w:rPr>
              <w:t>等；</w:t>
            </w:r>
          </w:p>
          <w:p>
            <w:pPr>
              <w:spacing w:line="240" w:lineRule="exact"/>
              <w:jc w:val="left"/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highlight w:val="none"/>
              </w:rPr>
              <w:t>（3）物理因素：噪声、高温、工频</w:t>
            </w:r>
            <w:r>
              <w:rPr>
                <w:rFonts w:hint="eastAsia"/>
                <w:highlight w:val="none"/>
              </w:rPr>
              <w:t>电磁场</w:t>
            </w:r>
            <w:r>
              <w:rPr>
                <w:rFonts w:hint="eastAsia"/>
                <w:highlight w:val="none"/>
                <w:lang w:eastAsia="zh-CN"/>
              </w:rPr>
              <w:t>、</w:t>
            </w:r>
            <w:r>
              <w:rPr>
                <w:rFonts w:hint="eastAsia"/>
                <w:highlight w:val="none"/>
                <w:lang w:val="en-US" w:eastAsia="zh-CN"/>
              </w:rPr>
              <w:t>低温</w:t>
            </w:r>
            <w:r>
              <w:rPr>
                <w:rFonts w:hint="eastAsia"/>
                <w:highlight w:val="none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284" w:hRule="atLeast"/>
        </w:trPr>
        <w:tc>
          <w:tcPr>
            <w:tcW w:w="640" w:type="pct"/>
            <w:vMerge w:val="continue"/>
            <w:noWrap w:val="0"/>
            <w:vAlign w:val="center"/>
          </w:tcPr>
          <w:p>
            <w:pPr>
              <w:spacing w:line="240" w:lineRule="exac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950" w:type="pct"/>
            <w:noWrap w:val="0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检测结果</w:t>
            </w:r>
          </w:p>
        </w:tc>
        <w:tc>
          <w:tcPr>
            <w:tcW w:w="3409" w:type="pct"/>
            <w:gridSpan w:val="5"/>
            <w:noWrap w:val="0"/>
            <w:vAlign w:val="center"/>
          </w:tcPr>
          <w:p>
            <w:pPr>
              <w:spacing w:line="240" w:lineRule="exact"/>
              <w:jc w:val="left"/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cs="Times New Roman"/>
                <w:color w:val="000000"/>
                <w:kern w:val="0"/>
                <w:szCs w:val="21"/>
                <w:lang w:val="en-US" w:eastAsia="zh-CN"/>
              </w:rPr>
              <w:t>-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284" w:hRule="atLeast"/>
        </w:trPr>
        <w:tc>
          <w:tcPr>
            <w:tcW w:w="640" w:type="pct"/>
            <w:vMerge w:val="restar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评价结论</w:t>
            </w:r>
          </w:p>
        </w:tc>
        <w:tc>
          <w:tcPr>
            <w:tcW w:w="950" w:type="pct"/>
            <w:noWrap w:val="0"/>
            <w:vAlign w:val="center"/>
          </w:tcPr>
          <w:p>
            <w:pPr>
              <w:spacing w:line="240" w:lineRule="exact"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职业病危害风险分类</w:t>
            </w:r>
          </w:p>
        </w:tc>
        <w:tc>
          <w:tcPr>
            <w:tcW w:w="3409" w:type="pct"/>
            <w:gridSpan w:val="5"/>
            <w:noWrap w:val="0"/>
            <w:vAlign w:val="center"/>
          </w:tcPr>
          <w:p>
            <w:pPr>
              <w:spacing w:line="240" w:lineRule="exact"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按照《建设项目职业病危害风险分类管理目录》（国卫办职健发[2021]5号）规定，用人单位属于“职业病危害风险严重”的项目。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284" w:hRule="atLeast"/>
        </w:trPr>
        <w:tc>
          <w:tcPr>
            <w:tcW w:w="640" w:type="pct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950" w:type="pc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综合结论</w:t>
            </w:r>
          </w:p>
        </w:tc>
        <w:tc>
          <w:tcPr>
            <w:tcW w:w="3409" w:type="pct"/>
            <w:gridSpan w:val="5"/>
            <w:noWrap w:val="0"/>
            <w:vAlign w:val="center"/>
          </w:tcPr>
          <w:p>
            <w:pPr>
              <w:spacing w:line="240" w:lineRule="exact"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</w:rPr>
              <w:t>拟建项目在切实落实申请报告中拟采取的各项职业病危害控制措施，结合本评价报告书提出的补充措施进一步完善设计，确保职业卫生专项资金的投入，将各项职业病防护设施与主体工程同时设计、同时施工、同时投入生产和使用，满足《工业企业设计卫生标准》(GBZ1-2010)等国家职业卫生标准要求后，正</w:t>
            </w:r>
            <w:r>
              <w:rPr>
                <w:rFonts w:hint="default" w:ascii="Times New Roman" w:hAnsi="Times New Roman" w:cs="Times New Roman"/>
                <w:snapToGrid w:val="0"/>
                <w:szCs w:val="28"/>
              </w:rPr>
              <w:t>常生产条件下，工作场所存在的职业病危害因素将可基本得到控制，基本满足职业病防治方面法律、法规、标准的要求</w:t>
            </w:r>
            <w:r>
              <w:rPr>
                <w:rFonts w:hint="default" w:ascii="Times New Roman" w:hAnsi="Times New Roman" w:cs="Times New Roman"/>
                <w:snapToGrid w:val="0"/>
                <w:szCs w:val="28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1" w:type="dxa"/>
            <w:left w:w="51" w:type="dxa"/>
            <w:bottom w:w="51" w:type="dxa"/>
            <w:right w:w="51" w:type="dxa"/>
          </w:tblCellMar>
        </w:tblPrEx>
        <w:trPr>
          <w:cantSplit/>
          <w:trHeight w:val="1399" w:hRule="atLeast"/>
        </w:trPr>
        <w:tc>
          <w:tcPr>
            <w:tcW w:w="1590" w:type="pct"/>
            <w:gridSpan w:val="2"/>
            <w:noWrap w:val="0"/>
            <w:vAlign w:val="center"/>
          </w:tcPr>
          <w:p>
            <w:pPr>
              <w:spacing w:line="240" w:lineRule="exact"/>
              <w:jc w:val="left"/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Cs w:val="21"/>
              </w:rPr>
              <w:t>技术审查专家组评审意见(需要评审的项目)</w:t>
            </w:r>
          </w:p>
        </w:tc>
        <w:tc>
          <w:tcPr>
            <w:tcW w:w="3409" w:type="pct"/>
            <w:gridSpan w:val="5"/>
            <w:noWrap w:val="0"/>
            <w:vAlign w:val="center"/>
          </w:tcPr>
          <w:p>
            <w:pPr>
              <w:spacing w:line="240" w:lineRule="exact"/>
              <w:jc w:val="left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核实明确项目评价范围；</w:t>
            </w:r>
          </w:p>
          <w:p>
            <w:pPr>
              <w:spacing w:line="240" w:lineRule="exact"/>
              <w:jc w:val="left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细化拟建项目周边环境中企业职业病危害因素相互影响的分析评价；</w:t>
            </w:r>
          </w:p>
          <w:p>
            <w:pPr>
              <w:spacing w:line="240" w:lineRule="exact"/>
              <w:jc w:val="left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补充完善项目公辅工程的介绍和分析；</w:t>
            </w:r>
          </w:p>
          <w:p>
            <w:pPr>
              <w:spacing w:line="240" w:lineRule="exact"/>
              <w:jc w:val="left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补充完善项目劳动定员、工作内容和工作时间的分析和介绍，并重新核算劳动者的接害时间；</w:t>
            </w:r>
          </w:p>
          <w:p>
            <w:pPr>
              <w:spacing w:line="240" w:lineRule="exact"/>
              <w:jc w:val="left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补充完善项目原辅材料、中间产品等的介绍，并进行职业病危害因素分析和评价；</w:t>
            </w:r>
          </w:p>
          <w:p>
            <w:pPr>
              <w:spacing w:line="240" w:lineRule="exact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补充完善项目通风、照明的介绍和评价</w:t>
            </w:r>
            <w:r>
              <w:rPr>
                <w:rFonts w:hint="eastAsia" w:cs="Times New Roman"/>
                <w:szCs w:val="21"/>
                <w:lang w:val="en-US" w:eastAsia="zh-CN"/>
              </w:rPr>
              <w:t>等</w:t>
            </w:r>
          </w:p>
        </w:tc>
      </w:tr>
    </w:tbl>
    <w:p/>
    <w:sectPr>
      <w:headerReference r:id="rId3" w:type="default"/>
      <w:pgSz w:w="11906" w:h="16838"/>
      <w:pgMar w:top="1440" w:right="1418" w:bottom="1440" w:left="1418" w:header="851" w:footer="992" w:gutter="0"/>
      <w:cols w:space="720" w:num="1"/>
      <w:docGrid w:type="lines" w:linePitch="312" w:charSpace="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431">
      <wne:acd wne:acdName="acd0"/>
    </wne:keymap>
    <wne:keymap wne:kcmPrimary="0432">
      <wne:acd wne:acdName="acd1"/>
    </wne:keymap>
    <wne:keymap wne:kcmPrimary="0433">
      <wne:acd wne:acdName="acd2"/>
    </wne:keymap>
    <wne:keymap wne:kcmPrimary="0434">
      <wne:acd wne:acdName="acd3"/>
    </wne:keymap>
  </wne:keymaps>
  <wne:acds>
    <wne:acd wne:argValue="AQAAAAEA" wne:acdName="acd0" wne:fciIndexBasedOn="0065"/>
    <wne:acd wne:argValue="AQAAAAIA" wne:acdName="acd1" wne:fciIndexBasedOn="0065"/>
    <wne:acd wne:argValue="AQAAAAMA" wne:acdName="acd2" wne:fciIndexBasedOn="0065"/>
    <wne:acd wne:argValue="AQAAAAQA" wne:acdName="acd3" wne:fciIndexBasedOn="0065"/>
  </wne:acd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altName w:val="Wingdings"/>
    <w:panose1 w:val="05020102010507070707"/>
    <w:charset w:val="02"/>
    <w:family w:val="auto"/>
    <w:pitch w:val="default"/>
    <w:sig w:usb0="00000000" w:usb1="00000000" w:usb2="00000000" w:usb3="00000000" w:csb0="80000000" w:csb1="00000000"/>
  </w:font>
  <w:font w:name="Kingsoft Symbol">
    <w:altName w:val="Symbo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pBdr>
        <w:bottom w:val="none" w:color="auto" w:sz="0" w:space="0"/>
      </w:pBdr>
      <w:jc w:val="right"/>
      <w:rPr>
        <w:rFonts w:ascii="宋体" w:hAnsi="宋体"/>
        <w:sz w:val="21"/>
        <w:szCs w:val="21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A4B0299"/>
    <w:multiLevelType w:val="multilevel"/>
    <w:tmpl w:val="8A4B0299"/>
    <w:lvl w:ilvl="0" w:tentative="0">
      <w:start w:val="1"/>
      <w:numFmt w:val="decimal"/>
      <w:pStyle w:val="3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4"/>
      <w:suff w:val="space"/>
      <w:lvlText w:val="%1.%2."/>
      <w:lvlJc w:val="left"/>
      <w:pPr>
        <w:tabs>
          <w:tab w:val="left" w:pos="420"/>
        </w:tabs>
        <w:ind w:left="575" w:hanging="575"/>
      </w:pPr>
      <w:rPr>
        <w:rFonts w:hint="default"/>
      </w:rPr>
    </w:lvl>
    <w:lvl w:ilvl="2" w:tentative="0">
      <w:start w:val="1"/>
      <w:numFmt w:val="decimal"/>
      <w:pStyle w:val="5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pStyle w:val="6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pStyle w:val="7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8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9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10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1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BmNWQwY2ZiZGViOTI0MjFiZmExMDcwNDQ3ODQ1OWIifQ=="/>
  </w:docVars>
  <w:rsids>
    <w:rsidRoot w:val="00000000"/>
    <w:rsid w:val="092A17B7"/>
    <w:rsid w:val="0AD640EA"/>
    <w:rsid w:val="0C7B342A"/>
    <w:rsid w:val="0CA40367"/>
    <w:rsid w:val="0D7511DD"/>
    <w:rsid w:val="10807227"/>
    <w:rsid w:val="1FD61EEC"/>
    <w:rsid w:val="262E1D88"/>
    <w:rsid w:val="2A2B1E61"/>
    <w:rsid w:val="34C95119"/>
    <w:rsid w:val="354A636D"/>
    <w:rsid w:val="3A5B434C"/>
    <w:rsid w:val="3AC8787B"/>
    <w:rsid w:val="3AE82B49"/>
    <w:rsid w:val="41B70517"/>
    <w:rsid w:val="4A831A26"/>
    <w:rsid w:val="4EEB55E4"/>
    <w:rsid w:val="5BEA3918"/>
    <w:rsid w:val="5CA049BC"/>
    <w:rsid w:val="60880F76"/>
    <w:rsid w:val="6AEF6DCD"/>
    <w:rsid w:val="6C5F2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15"/>
    <w:autoRedefine/>
    <w:qFormat/>
    <w:uiPriority w:val="0"/>
    <w:pPr>
      <w:keepNext/>
      <w:numPr>
        <w:ilvl w:val="0"/>
        <w:numId w:val="1"/>
      </w:numPr>
      <w:adjustRightInd w:val="0"/>
      <w:snapToGrid w:val="0"/>
      <w:spacing w:line="486" w:lineRule="exact"/>
      <w:ind w:left="432" w:hanging="432"/>
      <w:jc w:val="left"/>
      <w:outlineLvl w:val="0"/>
    </w:pPr>
    <w:rPr>
      <w:rFonts w:ascii="Times New Roman" w:hAnsi="Times New Roman" w:eastAsia="仿宋_GB2312"/>
      <w:b/>
      <w:sz w:val="28"/>
    </w:rPr>
  </w:style>
  <w:style w:type="paragraph" w:styleId="4">
    <w:name w:val="heading 2"/>
    <w:basedOn w:val="1"/>
    <w:next w:val="1"/>
    <w:link w:val="16"/>
    <w:autoRedefine/>
    <w:semiHidden/>
    <w:unhideWhenUsed/>
    <w:qFormat/>
    <w:uiPriority w:val="0"/>
    <w:pPr>
      <w:keepNext/>
      <w:keepLines/>
      <w:numPr>
        <w:ilvl w:val="1"/>
        <w:numId w:val="1"/>
      </w:numPr>
      <w:adjustRightInd w:val="0"/>
      <w:snapToGrid w:val="0"/>
      <w:spacing w:before="0" w:line="486" w:lineRule="exact"/>
      <w:jc w:val="left"/>
      <w:outlineLvl w:val="1"/>
    </w:pPr>
    <w:rPr>
      <w:rFonts w:ascii="仿宋" w:hAnsi="仿宋" w:eastAsia="仿宋_GB2312" w:cs="仿宋"/>
      <w:b/>
      <w:bCs/>
      <w:sz w:val="28"/>
    </w:rPr>
  </w:style>
  <w:style w:type="paragraph" w:styleId="5">
    <w:name w:val="heading 3"/>
    <w:basedOn w:val="1"/>
    <w:next w:val="2"/>
    <w:link w:val="17"/>
    <w:autoRedefine/>
    <w:semiHidden/>
    <w:unhideWhenUsed/>
    <w:qFormat/>
    <w:uiPriority w:val="0"/>
    <w:pPr>
      <w:keepNext/>
      <w:keepLines/>
      <w:numPr>
        <w:ilvl w:val="2"/>
        <w:numId w:val="1"/>
      </w:numPr>
      <w:tabs>
        <w:tab w:val="left" w:pos="420"/>
      </w:tabs>
      <w:spacing w:beforeLines="0" w:afterLines="0" w:line="490" w:lineRule="exact"/>
      <w:ind w:left="720" w:hanging="720"/>
      <w:jc w:val="left"/>
      <w:outlineLvl w:val="2"/>
    </w:pPr>
    <w:rPr>
      <w:rFonts w:ascii="Times New Roman" w:hAnsi="Times New Roman" w:eastAsia="仿宋_GB2312" w:cs="仿宋_GB2312"/>
      <w:b/>
      <w:bCs/>
      <w:snapToGrid w:val="0"/>
      <w:sz w:val="28"/>
      <w:szCs w:val="32"/>
    </w:rPr>
  </w:style>
  <w:style w:type="paragraph" w:styleId="6">
    <w:name w:val="heading 4"/>
    <w:basedOn w:val="1"/>
    <w:next w:val="1"/>
    <w:link w:val="18"/>
    <w:autoRedefine/>
    <w:semiHidden/>
    <w:unhideWhenUsed/>
    <w:qFormat/>
    <w:uiPriority w:val="0"/>
    <w:pPr>
      <w:keepNext/>
      <w:keepLines/>
      <w:numPr>
        <w:ilvl w:val="3"/>
        <w:numId w:val="1"/>
      </w:numPr>
      <w:tabs>
        <w:tab w:val="left" w:pos="420"/>
      </w:tabs>
      <w:spacing w:beforeLines="0" w:afterLines="0" w:line="490" w:lineRule="exact"/>
      <w:ind w:left="864" w:hanging="864"/>
      <w:jc w:val="left"/>
      <w:outlineLvl w:val="3"/>
    </w:pPr>
    <w:rPr>
      <w:rFonts w:ascii="Times New Roman" w:hAnsi="Times New Roman" w:eastAsia="仿宋_GB2312" w:cs="仿宋_GB2312"/>
      <w:b/>
      <w:bCs/>
      <w:snapToGrid w:val="0"/>
      <w:sz w:val="28"/>
      <w:szCs w:val="28"/>
    </w:rPr>
  </w:style>
  <w:style w:type="paragraph" w:styleId="7">
    <w:name w:val="heading 5"/>
    <w:basedOn w:val="1"/>
    <w:next w:val="1"/>
    <w:autoRedefine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1008" w:hanging="1008"/>
      <w:outlineLvl w:val="4"/>
    </w:pPr>
    <w:rPr>
      <w:b/>
      <w:sz w:val="28"/>
    </w:rPr>
  </w:style>
  <w:style w:type="paragraph" w:styleId="8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1151" w:hanging="1151"/>
      <w:outlineLvl w:val="5"/>
    </w:pPr>
    <w:rPr>
      <w:rFonts w:ascii="Arial" w:hAnsi="Arial" w:eastAsia="黑体"/>
      <w:b/>
      <w:sz w:val="24"/>
    </w:rPr>
  </w:style>
  <w:style w:type="paragraph" w:styleId="9">
    <w:name w:val="heading 7"/>
    <w:basedOn w:val="1"/>
    <w:next w:val="1"/>
    <w:autoRedefine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1296" w:hanging="1296"/>
      <w:outlineLvl w:val="6"/>
    </w:pPr>
    <w:rPr>
      <w:b/>
      <w:sz w:val="24"/>
    </w:rPr>
  </w:style>
  <w:style w:type="paragraph" w:styleId="10">
    <w:name w:val="heading 8"/>
    <w:basedOn w:val="1"/>
    <w:next w:val="1"/>
    <w:autoRedefine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1440" w:hanging="1440"/>
      <w:outlineLvl w:val="7"/>
    </w:pPr>
    <w:rPr>
      <w:rFonts w:ascii="Arial" w:hAnsi="Arial" w:eastAsia="黑体"/>
      <w:sz w:val="24"/>
    </w:rPr>
  </w:style>
  <w:style w:type="paragraph" w:styleId="11">
    <w:name w:val="heading 9"/>
    <w:basedOn w:val="1"/>
    <w:next w:val="1"/>
    <w:autoRedefine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1583" w:hanging="1583"/>
      <w:outlineLvl w:val="8"/>
    </w:pPr>
    <w:rPr>
      <w:rFonts w:ascii="Arial" w:hAnsi="Arial" w:eastAsia="黑体"/>
      <w:sz w:val="21"/>
    </w:rPr>
  </w:style>
  <w:style w:type="character" w:default="1" w:styleId="14">
    <w:name w:val="Default Paragraph Font"/>
    <w:autoRedefine/>
    <w:semiHidden/>
    <w:qFormat/>
    <w:uiPriority w:val="0"/>
  </w:style>
  <w:style w:type="table" w:default="1" w:styleId="1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autoRedefine/>
    <w:qFormat/>
    <w:uiPriority w:val="0"/>
    <w:pPr>
      <w:ind w:firstLine="420" w:firstLineChars="200"/>
    </w:pPr>
  </w:style>
  <w:style w:type="paragraph" w:styleId="12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5">
    <w:name w:val="标题 1 Char1"/>
    <w:link w:val="3"/>
    <w:autoRedefine/>
    <w:qFormat/>
    <w:uiPriority w:val="0"/>
    <w:rPr>
      <w:rFonts w:ascii="Times New Roman" w:hAnsi="Times New Roman" w:eastAsia="仿宋_GB2312" w:cs="仿宋_GB2312"/>
      <w:b/>
      <w:bCs/>
      <w:snapToGrid w:val="0"/>
      <w:sz w:val="28"/>
      <w:szCs w:val="28"/>
    </w:rPr>
  </w:style>
  <w:style w:type="character" w:customStyle="1" w:styleId="16">
    <w:name w:val="标题 2 Char1"/>
    <w:link w:val="4"/>
    <w:autoRedefine/>
    <w:qFormat/>
    <w:uiPriority w:val="9"/>
    <w:rPr>
      <w:rFonts w:ascii="仿宋" w:hAnsi="仿宋" w:eastAsia="仿宋_GB2312" w:cs="仿宋"/>
      <w:b/>
      <w:bCs/>
      <w:snapToGrid w:val="0"/>
      <w:kern w:val="0"/>
      <w:sz w:val="28"/>
      <w:szCs w:val="28"/>
    </w:rPr>
  </w:style>
  <w:style w:type="character" w:customStyle="1" w:styleId="17">
    <w:name w:val="标题 3 Char"/>
    <w:link w:val="5"/>
    <w:autoRedefine/>
    <w:qFormat/>
    <w:uiPriority w:val="0"/>
    <w:rPr>
      <w:rFonts w:ascii="Times New Roman" w:hAnsi="Times New Roman" w:eastAsia="仿宋_GB2312" w:cs="仿宋_GB2312"/>
      <w:b/>
      <w:bCs/>
      <w:snapToGrid w:val="0"/>
      <w:kern w:val="2"/>
      <w:sz w:val="28"/>
      <w:szCs w:val="32"/>
    </w:rPr>
  </w:style>
  <w:style w:type="character" w:customStyle="1" w:styleId="18">
    <w:name w:val="标题 4 Char"/>
    <w:link w:val="6"/>
    <w:autoRedefine/>
    <w:qFormat/>
    <w:uiPriority w:val="9"/>
    <w:rPr>
      <w:rFonts w:ascii="Times New Roman" w:hAnsi="Times New Roman" w:eastAsia="仿宋_GB2312" w:cs="仿宋_GB2312"/>
      <w:b/>
      <w:bCs/>
      <w:snapToGrid w:val="0"/>
      <w:kern w:val="2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microsoft.com/office/2006/relationships/keyMapCustomizations" Target="customizations.xml"/><Relationship Id="rId6" Type="http://schemas.openxmlformats.org/officeDocument/2006/relationships/numbering" Target="numbering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960</Words>
  <Characters>1089</Characters>
  <Lines>0</Lines>
  <Paragraphs>0</Paragraphs>
  <TotalTime>0</TotalTime>
  <ScaleCrop>false</ScaleCrop>
  <LinksUpToDate>false</LinksUpToDate>
  <CharactersWithSpaces>1366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2022-04-26T04:03:00Z</dcterms:created>
  <dc:creator>Administrator</dc:creator>
  <cp:lastModifiedBy>Administrator</cp:lastModifiedBy>
  <cp:lastPrinted>2024-04-15T01:40:46Z</cp:lastPrinted>
  <dcterms:modified xsi:type="dcterms:W3CDTF">2024-04-15T01:41:07Z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C0DFA9D84CED4B29BC1DAE769C90D2FF</vt:lpwstr>
  </property>
</Properties>
</file>